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80" w:rsidRDefault="00E65B80" w:rsidP="00E65B80">
      <w:pPr>
        <w:spacing w:before="100" w:beforeAutospacing="1" w:after="40" w:line="240" w:lineRule="auto"/>
        <w:outlineLvl w:val="2"/>
        <w:rPr>
          <w:rFonts w:cs="Arial"/>
          <w:b/>
          <w:bCs/>
          <w:color w:val="000000"/>
          <w:sz w:val="28"/>
          <w:szCs w:val="28"/>
          <w:u w:val="single"/>
        </w:rPr>
      </w:pPr>
      <w:r w:rsidRPr="00E65B80">
        <w:rPr>
          <w:rFonts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04052" cy="940158"/>
            <wp:effectExtent l="19050" t="0" r="5598" b="0"/>
            <wp:docPr id="2" name="1 Imagen" descr="Logo IU Puertol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U Puertolla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29" cy="9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80" w:rsidRDefault="00E65B80" w:rsidP="00E65B80">
      <w:pPr>
        <w:spacing w:before="100" w:beforeAutospacing="1" w:after="40" w:line="240" w:lineRule="auto"/>
        <w:outlineLvl w:val="2"/>
        <w:rPr>
          <w:rFonts w:cs="Arial"/>
          <w:b/>
          <w:bCs/>
          <w:color w:val="000000"/>
          <w:sz w:val="28"/>
          <w:szCs w:val="28"/>
          <w:u w:val="single"/>
        </w:rPr>
      </w:pPr>
    </w:p>
    <w:p w:rsidR="00EF037B" w:rsidRDefault="00EF037B" w:rsidP="00E65B80">
      <w:pPr>
        <w:spacing w:before="100" w:beforeAutospacing="1" w:after="40" w:line="240" w:lineRule="auto"/>
        <w:outlineLvl w:val="2"/>
        <w:rPr>
          <w:rFonts w:cs="Arial"/>
          <w:b/>
          <w:bCs/>
          <w:color w:val="000000"/>
          <w:sz w:val="28"/>
          <w:szCs w:val="28"/>
          <w:u w:val="single"/>
        </w:rPr>
      </w:pPr>
    </w:p>
    <w:p w:rsidR="00E65B80" w:rsidRPr="00EF037B" w:rsidRDefault="00E65B80" w:rsidP="00E65B80">
      <w:pPr>
        <w:spacing w:before="100" w:beforeAutospacing="1" w:after="40" w:line="240" w:lineRule="auto"/>
        <w:jc w:val="center"/>
        <w:outlineLvl w:val="2"/>
        <w:rPr>
          <w:rFonts w:ascii="Verdana" w:hAnsi="Verdana" w:cs="Arial"/>
          <w:b/>
          <w:bCs/>
          <w:color w:val="000000"/>
          <w:sz w:val="24"/>
          <w:szCs w:val="24"/>
          <w:u w:val="single"/>
        </w:rPr>
      </w:pPr>
      <w:r w:rsidRPr="00EF037B">
        <w:rPr>
          <w:rFonts w:ascii="Verdana" w:hAnsi="Verdana" w:cs="Arial"/>
          <w:b/>
          <w:bCs/>
          <w:color w:val="000000"/>
          <w:sz w:val="24"/>
          <w:szCs w:val="24"/>
          <w:u w:val="single"/>
        </w:rPr>
        <w:t>AL PLENO DEL AYUNTAMIENTO DE PUERTOLLANO</w:t>
      </w:r>
    </w:p>
    <w:p w:rsidR="00E65B80" w:rsidRPr="00EF037B" w:rsidRDefault="00E65B80" w:rsidP="00E65B80">
      <w:pPr>
        <w:spacing w:after="4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:rsidR="00E65B80" w:rsidRPr="00EF037B" w:rsidRDefault="00E65B80" w:rsidP="00E65B80">
      <w:pPr>
        <w:jc w:val="both"/>
        <w:rPr>
          <w:rFonts w:ascii="Verdana" w:hAnsi="Verdana"/>
          <w:sz w:val="24"/>
          <w:szCs w:val="24"/>
        </w:rPr>
      </w:pPr>
      <w:r w:rsidRPr="00EF037B">
        <w:rPr>
          <w:rFonts w:ascii="Verdana" w:hAnsi="Verdana" w:cs="Arial"/>
          <w:color w:val="000000"/>
          <w:sz w:val="24"/>
          <w:szCs w:val="24"/>
        </w:rPr>
        <w:t xml:space="preserve">Jesús Manchón Sierra, portavoz del Grupo Municipal de Izquierda Unida en el Ayuntamiento de Puertollano, al amparo de lo dispuesto en el Reglamento de Organización, Funcionamiento y Régimen Jurídico de las Entidades Locales, presenta para su aprobación la </w:t>
      </w:r>
      <w:r w:rsidRPr="00EF037B">
        <w:rPr>
          <w:rFonts w:ascii="Verdana" w:hAnsi="Verdana"/>
          <w:b/>
          <w:sz w:val="24"/>
          <w:szCs w:val="24"/>
        </w:rPr>
        <w:t>MOCIÓN EN APOYO A LAS PENSIONES</w:t>
      </w:r>
      <w:r w:rsidRPr="00EF037B">
        <w:rPr>
          <w:rFonts w:ascii="Verdana" w:hAnsi="Verdana" w:cs="Arial"/>
          <w:sz w:val="24"/>
          <w:szCs w:val="24"/>
        </w:rPr>
        <w:t>, en función de la siguiente:</w:t>
      </w:r>
    </w:p>
    <w:p w:rsidR="00E65B80" w:rsidRDefault="00E65B80" w:rsidP="00E65B80">
      <w:pPr>
        <w:jc w:val="both"/>
        <w:rPr>
          <w:rFonts w:ascii="Verdana" w:hAnsi="Verdana"/>
          <w:b/>
          <w:sz w:val="24"/>
          <w:szCs w:val="24"/>
        </w:rPr>
      </w:pPr>
    </w:p>
    <w:p w:rsidR="00EF037B" w:rsidRDefault="00EF037B" w:rsidP="00E65B80">
      <w:pPr>
        <w:jc w:val="both"/>
        <w:rPr>
          <w:rFonts w:ascii="Verdana" w:hAnsi="Verdana"/>
          <w:b/>
          <w:sz w:val="24"/>
          <w:szCs w:val="24"/>
        </w:rPr>
      </w:pPr>
    </w:p>
    <w:p w:rsidR="006E70A9" w:rsidRDefault="006F14C3" w:rsidP="006E70A9">
      <w:pPr>
        <w:ind w:left="1416" w:firstLine="708"/>
        <w:jc w:val="both"/>
        <w:rPr>
          <w:rFonts w:ascii="Verdana" w:hAnsi="Verdana"/>
          <w:b/>
          <w:sz w:val="24"/>
          <w:szCs w:val="24"/>
        </w:rPr>
      </w:pPr>
      <w:r w:rsidRPr="001C2AAB">
        <w:rPr>
          <w:rFonts w:ascii="Verdana" w:hAnsi="Verdana"/>
          <w:b/>
          <w:sz w:val="24"/>
          <w:szCs w:val="24"/>
        </w:rPr>
        <w:t>EXPOSICION DE MOTIVOS</w:t>
      </w:r>
    </w:p>
    <w:p w:rsidR="00EF037B" w:rsidRPr="001C2AAB" w:rsidRDefault="00EF037B" w:rsidP="006E70A9">
      <w:pPr>
        <w:ind w:left="1416" w:firstLine="708"/>
        <w:jc w:val="both"/>
        <w:rPr>
          <w:rFonts w:ascii="Verdana" w:hAnsi="Verdana"/>
          <w:b/>
          <w:sz w:val="24"/>
          <w:szCs w:val="24"/>
        </w:rPr>
      </w:pPr>
    </w:p>
    <w:p w:rsidR="006F14C3" w:rsidRDefault="006E70A9" w:rsidP="006F14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Ante e</w:t>
      </w:r>
      <w:r w:rsidR="006F14C3">
        <w:rPr>
          <w:rFonts w:ascii="Verdana" w:hAnsi="Verdana"/>
          <w:sz w:val="24"/>
          <w:szCs w:val="24"/>
        </w:rPr>
        <w:t xml:space="preserve">l incesante </w:t>
      </w:r>
      <w:r w:rsidR="00E200E9">
        <w:rPr>
          <w:rFonts w:ascii="Verdana" w:hAnsi="Verdana"/>
          <w:sz w:val="24"/>
          <w:szCs w:val="24"/>
        </w:rPr>
        <w:t xml:space="preserve">cuestionamiento </w:t>
      </w:r>
      <w:r w:rsidR="006F14C3">
        <w:rPr>
          <w:rFonts w:ascii="Verdana" w:hAnsi="Verdana"/>
          <w:sz w:val="24"/>
          <w:szCs w:val="24"/>
        </w:rPr>
        <w:t xml:space="preserve"> al que se está sometiendo a nuestro sistema de Seguridad Social y por tanto, a la viabilidad de nuestro sistema de pensiones, las organ</w:t>
      </w:r>
      <w:r w:rsidR="00E65B80">
        <w:rPr>
          <w:rFonts w:ascii="Verdana" w:hAnsi="Verdana"/>
          <w:sz w:val="24"/>
          <w:szCs w:val="24"/>
        </w:rPr>
        <w:t>izaciones sindicales y movimientos ciudadanos</w:t>
      </w:r>
      <w:r>
        <w:rPr>
          <w:rFonts w:ascii="Verdana" w:hAnsi="Verdana"/>
          <w:sz w:val="24"/>
          <w:szCs w:val="24"/>
        </w:rPr>
        <w:t>,</w:t>
      </w:r>
      <w:r w:rsidR="006F14C3">
        <w:rPr>
          <w:rFonts w:ascii="Verdana" w:hAnsi="Verdana"/>
          <w:sz w:val="24"/>
          <w:szCs w:val="24"/>
        </w:rPr>
        <w:t xml:space="preserve"> dando continuidad a las movilizaciones en defensa de las Pensiones Públicas</w:t>
      </w:r>
      <w:r>
        <w:rPr>
          <w:rFonts w:ascii="Verdana" w:hAnsi="Verdana"/>
          <w:sz w:val="24"/>
          <w:szCs w:val="24"/>
        </w:rPr>
        <w:t>,</w:t>
      </w:r>
      <w:r w:rsidR="006F14C3">
        <w:rPr>
          <w:rFonts w:ascii="Verdana" w:hAnsi="Verdana"/>
          <w:sz w:val="24"/>
          <w:szCs w:val="24"/>
        </w:rPr>
        <w:t xml:space="preserve"> </w:t>
      </w:r>
      <w:r w:rsidR="00E65B80">
        <w:rPr>
          <w:rFonts w:ascii="Verdana" w:hAnsi="Verdana"/>
          <w:sz w:val="24"/>
          <w:szCs w:val="24"/>
        </w:rPr>
        <w:t>han iniciado a nivel estatal</w:t>
      </w:r>
      <w:r w:rsidR="006F14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una campaña de apoyo y defensa de</w:t>
      </w:r>
      <w:r w:rsidR="006F14C3">
        <w:rPr>
          <w:rFonts w:ascii="Verdana" w:hAnsi="Verdana"/>
          <w:sz w:val="24"/>
          <w:szCs w:val="24"/>
        </w:rPr>
        <w:t xml:space="preserve"> un sistema que ha sido</w:t>
      </w:r>
      <w:r w:rsidR="00E200E9">
        <w:rPr>
          <w:rFonts w:ascii="Verdana" w:hAnsi="Verdana"/>
          <w:sz w:val="24"/>
          <w:szCs w:val="24"/>
        </w:rPr>
        <w:t xml:space="preserve"> y debe seguir siendo,</w:t>
      </w:r>
      <w:r w:rsidR="006F14C3">
        <w:rPr>
          <w:rFonts w:ascii="Verdana" w:hAnsi="Verdana"/>
          <w:sz w:val="24"/>
          <w:szCs w:val="24"/>
        </w:rPr>
        <w:t xml:space="preserve"> garante de cohesión y de protección social.</w:t>
      </w:r>
    </w:p>
    <w:p w:rsidR="00EF037B" w:rsidRDefault="00EF037B" w:rsidP="006F14C3">
      <w:pPr>
        <w:jc w:val="both"/>
        <w:rPr>
          <w:rFonts w:ascii="Verdana" w:hAnsi="Verdana"/>
          <w:sz w:val="24"/>
          <w:szCs w:val="24"/>
        </w:rPr>
      </w:pPr>
    </w:p>
    <w:p w:rsidR="006F14C3" w:rsidRDefault="00E200E9" w:rsidP="006F14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</w:t>
      </w:r>
      <w:r w:rsidR="006F14C3">
        <w:rPr>
          <w:rFonts w:ascii="Verdana" w:hAnsi="Verdana"/>
          <w:sz w:val="24"/>
          <w:szCs w:val="24"/>
        </w:rPr>
        <w:t xml:space="preserve"> forma sutil pero constante </w:t>
      </w:r>
      <w:r>
        <w:rPr>
          <w:rFonts w:ascii="Verdana" w:hAnsi="Verdana"/>
          <w:sz w:val="24"/>
          <w:szCs w:val="24"/>
        </w:rPr>
        <w:t xml:space="preserve">se </w:t>
      </w:r>
      <w:r w:rsidR="006F14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repiten argumentos</w:t>
      </w:r>
      <w:r w:rsidR="002145FE">
        <w:rPr>
          <w:rFonts w:ascii="Verdana" w:hAnsi="Verdana"/>
          <w:sz w:val="24"/>
          <w:szCs w:val="24"/>
        </w:rPr>
        <w:t xml:space="preserve"> que culpabilizan a la propia ciudadanía de la escasez de recursos. La pretensión no es otra que terminemos creyendo que los responsables de una supuesta</w:t>
      </w:r>
      <w:r>
        <w:rPr>
          <w:rFonts w:ascii="Verdana" w:hAnsi="Verdana"/>
          <w:sz w:val="24"/>
          <w:szCs w:val="24"/>
        </w:rPr>
        <w:t>mente</w:t>
      </w:r>
      <w:r w:rsidR="002145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inevitable inviabilidad</w:t>
      </w:r>
      <w:r w:rsidR="006E70A9">
        <w:rPr>
          <w:rFonts w:ascii="Verdana" w:hAnsi="Verdana"/>
          <w:sz w:val="24"/>
          <w:szCs w:val="24"/>
        </w:rPr>
        <w:t xml:space="preserve"> del sistema de pensiones es</w:t>
      </w:r>
      <w:r w:rsidR="002145FE">
        <w:rPr>
          <w:rFonts w:ascii="Verdana" w:hAnsi="Verdana"/>
          <w:sz w:val="24"/>
          <w:szCs w:val="24"/>
        </w:rPr>
        <w:t xml:space="preserve"> de las personas, por ser muy mayores o por tener pocos hijos incluso, por tener trabajos escasos y poco remunerados</w:t>
      </w:r>
      <w:r w:rsidR="007F6D60">
        <w:rPr>
          <w:rFonts w:ascii="Verdana" w:hAnsi="Verdana"/>
          <w:sz w:val="24"/>
          <w:szCs w:val="24"/>
        </w:rPr>
        <w:t>.</w:t>
      </w:r>
    </w:p>
    <w:p w:rsidR="00EF037B" w:rsidRDefault="00EF037B" w:rsidP="006F14C3">
      <w:pPr>
        <w:jc w:val="both"/>
        <w:rPr>
          <w:rFonts w:ascii="Verdana" w:hAnsi="Verdana"/>
          <w:sz w:val="24"/>
          <w:szCs w:val="24"/>
        </w:rPr>
      </w:pPr>
    </w:p>
    <w:p w:rsidR="00E200E9" w:rsidRDefault="007F6D60" w:rsidP="006F14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Desde el movimiento sindical </w:t>
      </w:r>
      <w:r w:rsidR="00E65B80">
        <w:rPr>
          <w:rFonts w:ascii="Verdana" w:hAnsi="Verdana"/>
          <w:sz w:val="24"/>
          <w:szCs w:val="24"/>
        </w:rPr>
        <w:t xml:space="preserve">y movimiento ciudadano </w:t>
      </w:r>
      <w:r>
        <w:rPr>
          <w:rFonts w:ascii="Verdana" w:hAnsi="Verdana"/>
          <w:sz w:val="24"/>
          <w:szCs w:val="24"/>
        </w:rPr>
        <w:t xml:space="preserve">se </w:t>
      </w:r>
      <w:r w:rsidR="00E200E9">
        <w:rPr>
          <w:rFonts w:ascii="Verdana" w:hAnsi="Verdana"/>
          <w:sz w:val="24"/>
          <w:szCs w:val="24"/>
        </w:rPr>
        <w:t xml:space="preserve">denuncia que estas tesis están basadas en la voluntad de mantener las equivocadas políticas de austeridad a ultranza, concurriendo con las que se fundamentan en presentar, desde sectores con claros intereses mercantiles, a las </w:t>
      </w:r>
      <w:r w:rsidR="00E65B80">
        <w:rPr>
          <w:rFonts w:ascii="Verdana" w:hAnsi="Verdana"/>
          <w:sz w:val="24"/>
          <w:szCs w:val="24"/>
        </w:rPr>
        <w:t>pensiones</w:t>
      </w:r>
      <w:r w:rsidR="00E200E9">
        <w:rPr>
          <w:rFonts w:ascii="Verdana" w:hAnsi="Verdana"/>
          <w:sz w:val="24"/>
          <w:szCs w:val="24"/>
        </w:rPr>
        <w:t xml:space="preserve"> públicas como inviables, al tiempo que se ofrecen como alternativa sistemas privados de pensiones, </w:t>
      </w:r>
      <w:r w:rsidR="00E65B80">
        <w:rPr>
          <w:rFonts w:ascii="Verdana" w:hAnsi="Verdana"/>
          <w:sz w:val="24"/>
          <w:szCs w:val="24"/>
        </w:rPr>
        <w:t>obviando</w:t>
      </w:r>
      <w:r w:rsidR="00E200E9">
        <w:rPr>
          <w:rFonts w:ascii="Verdana" w:hAnsi="Verdana"/>
          <w:sz w:val="24"/>
          <w:szCs w:val="24"/>
        </w:rPr>
        <w:t xml:space="preserve"> que no son, en modo alguno, capaces de proteger mejor a la población pensionista.</w:t>
      </w:r>
    </w:p>
    <w:p w:rsidR="00EF037B" w:rsidRDefault="00EF037B" w:rsidP="006F14C3">
      <w:pPr>
        <w:jc w:val="both"/>
        <w:rPr>
          <w:rFonts w:ascii="Verdana" w:hAnsi="Verdana"/>
          <w:sz w:val="24"/>
          <w:szCs w:val="24"/>
        </w:rPr>
      </w:pPr>
    </w:p>
    <w:p w:rsidR="007F6D60" w:rsidRDefault="00E16E6B" w:rsidP="006F14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Los poderes públicos </w:t>
      </w:r>
      <w:r w:rsidR="007F6D60">
        <w:rPr>
          <w:rFonts w:ascii="Verdana" w:hAnsi="Verdana"/>
          <w:sz w:val="24"/>
          <w:szCs w:val="24"/>
        </w:rPr>
        <w:t>de</w:t>
      </w:r>
      <w:r>
        <w:rPr>
          <w:rFonts w:ascii="Verdana" w:hAnsi="Verdana"/>
          <w:sz w:val="24"/>
          <w:szCs w:val="24"/>
        </w:rPr>
        <w:t xml:space="preserve">ben </w:t>
      </w:r>
      <w:r w:rsidR="007F6D60">
        <w:rPr>
          <w:rFonts w:ascii="Verdana" w:hAnsi="Verdana"/>
          <w:sz w:val="24"/>
          <w:szCs w:val="24"/>
        </w:rPr>
        <w:t xml:space="preserve"> apostar por garantizar desde el sistema público</w:t>
      </w:r>
      <w:r>
        <w:rPr>
          <w:rFonts w:ascii="Verdana" w:hAnsi="Verdana"/>
          <w:sz w:val="24"/>
          <w:szCs w:val="24"/>
        </w:rPr>
        <w:t>, pensiones suficientes como herramienta fundamental</w:t>
      </w:r>
      <w:r w:rsidR="007F6D60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para mantener y reforzar </w:t>
      </w:r>
      <w:r w:rsidR="007F6D60">
        <w:rPr>
          <w:rFonts w:ascii="Verdana" w:hAnsi="Verdana"/>
          <w:sz w:val="24"/>
          <w:szCs w:val="24"/>
        </w:rPr>
        <w:t>la cohesión social.</w:t>
      </w:r>
      <w:r>
        <w:rPr>
          <w:rFonts w:ascii="Verdana" w:hAnsi="Verdana"/>
          <w:sz w:val="24"/>
          <w:szCs w:val="24"/>
        </w:rPr>
        <w:t xml:space="preserve"> Las cotizaciones procedentes del empleo, que deben mejorar su disminuida aportación actual y el refuerzo de la financiación pública, como elemento de redistribución de renta, son piezas esenciales.</w:t>
      </w:r>
    </w:p>
    <w:p w:rsidR="00EF037B" w:rsidRDefault="00EF037B" w:rsidP="006F14C3">
      <w:pPr>
        <w:jc w:val="both"/>
        <w:rPr>
          <w:rFonts w:ascii="Verdana" w:hAnsi="Verdana"/>
          <w:sz w:val="24"/>
          <w:szCs w:val="24"/>
        </w:rPr>
      </w:pPr>
    </w:p>
    <w:p w:rsidR="007F6D60" w:rsidRDefault="00E16E6B" w:rsidP="006F14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</w:t>
      </w:r>
      <w:r w:rsidR="007F6D60">
        <w:rPr>
          <w:rFonts w:ascii="Verdana" w:hAnsi="Verdana"/>
          <w:sz w:val="24"/>
          <w:szCs w:val="24"/>
        </w:rPr>
        <w:t xml:space="preserve"> cotizaci</w:t>
      </w:r>
      <w:r>
        <w:rPr>
          <w:rFonts w:ascii="Verdana" w:hAnsi="Verdana"/>
          <w:sz w:val="24"/>
          <w:szCs w:val="24"/>
        </w:rPr>
        <w:t>ones</w:t>
      </w:r>
      <w:r w:rsidR="007F6D60">
        <w:rPr>
          <w:rFonts w:ascii="Verdana" w:hAnsi="Verdana"/>
          <w:sz w:val="24"/>
          <w:szCs w:val="24"/>
        </w:rPr>
        <w:t xml:space="preserve"> a la Seguridad Social no </w:t>
      </w:r>
      <w:r>
        <w:rPr>
          <w:rFonts w:ascii="Verdana" w:hAnsi="Verdana"/>
          <w:sz w:val="24"/>
          <w:szCs w:val="24"/>
        </w:rPr>
        <w:t xml:space="preserve">son, como se repite para intentar denostarlas, </w:t>
      </w:r>
      <w:r w:rsidR="007F6D60">
        <w:rPr>
          <w:rFonts w:ascii="Verdana" w:hAnsi="Verdana"/>
          <w:sz w:val="24"/>
          <w:szCs w:val="24"/>
        </w:rPr>
        <w:t xml:space="preserve"> un impuesto que pagan los empresarios y e</w:t>
      </w:r>
      <w:r w:rsidR="00D04AF5">
        <w:rPr>
          <w:rFonts w:ascii="Verdana" w:hAnsi="Verdana"/>
          <w:sz w:val="24"/>
          <w:szCs w:val="24"/>
        </w:rPr>
        <w:t>n menor medida los trabajadores. L</w:t>
      </w:r>
      <w:r w:rsidR="007F6D60">
        <w:rPr>
          <w:rFonts w:ascii="Verdana" w:hAnsi="Verdana"/>
          <w:sz w:val="24"/>
          <w:szCs w:val="24"/>
        </w:rPr>
        <w:t xml:space="preserve">a cotización a la seguridad social es salario diferido que se </w:t>
      </w:r>
      <w:r>
        <w:rPr>
          <w:rFonts w:ascii="Verdana" w:hAnsi="Verdana"/>
          <w:sz w:val="24"/>
          <w:szCs w:val="24"/>
        </w:rPr>
        <w:t xml:space="preserve">entrega al </w:t>
      </w:r>
      <w:r w:rsidR="007F6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="007F6D60">
        <w:rPr>
          <w:rFonts w:ascii="Verdana" w:hAnsi="Verdana"/>
          <w:sz w:val="24"/>
          <w:szCs w:val="24"/>
        </w:rPr>
        <w:t>stado para que sea e</w:t>
      </w:r>
      <w:r w:rsidR="00D04AF5">
        <w:rPr>
          <w:rFonts w:ascii="Verdana" w:hAnsi="Verdana"/>
          <w:sz w:val="24"/>
          <w:szCs w:val="24"/>
        </w:rPr>
        <w:t xml:space="preserve">l garante de nuestras </w:t>
      </w:r>
      <w:r>
        <w:rPr>
          <w:rFonts w:ascii="Verdana" w:hAnsi="Verdana"/>
          <w:sz w:val="24"/>
          <w:szCs w:val="24"/>
        </w:rPr>
        <w:t xml:space="preserve">prestaciones y </w:t>
      </w:r>
      <w:r w:rsidR="00D04AF5">
        <w:rPr>
          <w:rFonts w:ascii="Verdana" w:hAnsi="Verdana"/>
          <w:sz w:val="24"/>
          <w:szCs w:val="24"/>
        </w:rPr>
        <w:t xml:space="preserve"> para tener cubiertas las situaciones de enfermedad, </w:t>
      </w:r>
      <w:r>
        <w:rPr>
          <w:rFonts w:ascii="Verdana" w:hAnsi="Verdana"/>
          <w:sz w:val="24"/>
          <w:szCs w:val="24"/>
        </w:rPr>
        <w:t>fallecimiento</w:t>
      </w:r>
      <w:r w:rsidR="00D04AF5">
        <w:rPr>
          <w:rFonts w:ascii="Verdana" w:hAnsi="Verdana"/>
          <w:sz w:val="24"/>
          <w:szCs w:val="24"/>
        </w:rPr>
        <w:t xml:space="preserve"> o vejez.</w:t>
      </w:r>
    </w:p>
    <w:p w:rsidR="00EF037B" w:rsidRDefault="00EF037B" w:rsidP="006F14C3">
      <w:pPr>
        <w:jc w:val="both"/>
        <w:rPr>
          <w:rFonts w:ascii="Verdana" w:hAnsi="Verdana"/>
          <w:sz w:val="24"/>
          <w:szCs w:val="24"/>
        </w:rPr>
      </w:pPr>
    </w:p>
    <w:p w:rsidR="00E16E6B" w:rsidRDefault="00D04AF5" w:rsidP="006F14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problema no está en el sistema, </w:t>
      </w:r>
      <w:r w:rsidR="00E16E6B">
        <w:rPr>
          <w:rFonts w:ascii="Verdana" w:hAnsi="Verdana"/>
          <w:sz w:val="24"/>
          <w:szCs w:val="24"/>
        </w:rPr>
        <w:t xml:space="preserve">cuyas necesidades futuras son conocidas y previsibles, </w:t>
      </w:r>
      <w:r>
        <w:rPr>
          <w:rFonts w:ascii="Verdana" w:hAnsi="Verdana"/>
          <w:sz w:val="24"/>
          <w:szCs w:val="24"/>
        </w:rPr>
        <w:t>está</w:t>
      </w:r>
      <w:r w:rsidR="00CF6A28">
        <w:rPr>
          <w:rFonts w:ascii="Verdana" w:hAnsi="Verdana"/>
          <w:sz w:val="24"/>
          <w:szCs w:val="24"/>
        </w:rPr>
        <w:t>, entre otras causas,</w:t>
      </w:r>
      <w:r>
        <w:rPr>
          <w:rFonts w:ascii="Verdana" w:hAnsi="Verdana"/>
          <w:sz w:val="24"/>
          <w:szCs w:val="24"/>
        </w:rPr>
        <w:t xml:space="preserve"> </w:t>
      </w:r>
      <w:r w:rsidR="00E16E6B">
        <w:rPr>
          <w:rFonts w:ascii="Verdana" w:hAnsi="Verdana"/>
          <w:sz w:val="24"/>
          <w:szCs w:val="24"/>
        </w:rPr>
        <w:t xml:space="preserve">en la voluntad de reducir su nivel de cobertura, el debilitamiento de sus fuentes de financiación procedentes del mercado de trabajo, </w:t>
      </w:r>
      <w:r w:rsidR="00CF6A28">
        <w:rPr>
          <w:rFonts w:ascii="Verdana" w:hAnsi="Verdana"/>
          <w:sz w:val="24"/>
          <w:szCs w:val="24"/>
        </w:rPr>
        <w:t xml:space="preserve">debilitando los mecanismos de distribución de renta en la empresas y en la sociedad, </w:t>
      </w:r>
      <w:r>
        <w:rPr>
          <w:rFonts w:ascii="Verdana" w:hAnsi="Verdana"/>
          <w:sz w:val="24"/>
          <w:szCs w:val="24"/>
        </w:rPr>
        <w:t>en el uso que</w:t>
      </w:r>
      <w:r w:rsidR="00E16E6B">
        <w:rPr>
          <w:rFonts w:ascii="Verdana" w:hAnsi="Verdana"/>
          <w:sz w:val="24"/>
          <w:szCs w:val="24"/>
        </w:rPr>
        <w:t>, en ocasiones, se hace</w:t>
      </w:r>
      <w:r>
        <w:rPr>
          <w:rFonts w:ascii="Verdana" w:hAnsi="Verdana"/>
          <w:sz w:val="24"/>
          <w:szCs w:val="24"/>
        </w:rPr>
        <w:t xml:space="preserve"> de la recaudación destinando el dinero, a otros fines para los que no estaba previst</w:t>
      </w:r>
      <w:r w:rsidR="006E70A9">
        <w:rPr>
          <w:rFonts w:ascii="Verdana" w:hAnsi="Verdana"/>
          <w:sz w:val="24"/>
          <w:szCs w:val="24"/>
        </w:rPr>
        <w:t xml:space="preserve">o. </w:t>
      </w:r>
      <w:r w:rsidR="00E16E6B">
        <w:rPr>
          <w:rFonts w:ascii="Verdana" w:hAnsi="Verdana"/>
          <w:sz w:val="24"/>
          <w:szCs w:val="24"/>
        </w:rPr>
        <w:t>El incremento de pensionistas y la mayor duración de las prestaciones</w:t>
      </w:r>
      <w:r w:rsidR="00CF6A28">
        <w:rPr>
          <w:rFonts w:ascii="Verdana" w:hAnsi="Verdana"/>
          <w:sz w:val="24"/>
          <w:szCs w:val="24"/>
        </w:rPr>
        <w:t>, procesos conocidos, previsibles y saludables,</w:t>
      </w:r>
      <w:r w:rsidR="00E16E6B">
        <w:rPr>
          <w:rFonts w:ascii="Verdana" w:hAnsi="Verdana"/>
          <w:sz w:val="24"/>
          <w:szCs w:val="24"/>
        </w:rPr>
        <w:t xml:space="preserve"> debe ir acompañada de medidas efectivas, acordadas con los interlocutores sociales y, en la mayor me</w:t>
      </w:r>
      <w:r w:rsidR="0092453B">
        <w:rPr>
          <w:rFonts w:ascii="Verdana" w:hAnsi="Verdana"/>
          <w:sz w:val="24"/>
          <w:szCs w:val="24"/>
        </w:rPr>
        <w:t>d</w:t>
      </w:r>
      <w:r w:rsidR="00E16E6B">
        <w:rPr>
          <w:rFonts w:ascii="Verdana" w:hAnsi="Verdana"/>
          <w:sz w:val="24"/>
          <w:szCs w:val="24"/>
        </w:rPr>
        <w:t xml:space="preserve">ida posible, fuerzas parlamentarias, que permitan mantener el pacto </w:t>
      </w:r>
      <w:proofErr w:type="spellStart"/>
      <w:r w:rsidR="00E16E6B">
        <w:rPr>
          <w:rFonts w:ascii="Verdana" w:hAnsi="Verdana"/>
          <w:sz w:val="24"/>
          <w:szCs w:val="24"/>
        </w:rPr>
        <w:t>intergeneracional</w:t>
      </w:r>
      <w:proofErr w:type="spellEnd"/>
      <w:r w:rsidR="00E16E6B">
        <w:rPr>
          <w:rFonts w:ascii="Verdana" w:hAnsi="Verdana"/>
          <w:sz w:val="24"/>
          <w:szCs w:val="24"/>
        </w:rPr>
        <w:t xml:space="preserve"> que constituye nuestro sistema de pensiones públicas de reparto.</w:t>
      </w:r>
    </w:p>
    <w:p w:rsidR="00D93D7F" w:rsidRPr="00EF037B" w:rsidRDefault="00EF037B" w:rsidP="00EF037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Por todo lo anterior pedimos al</w:t>
      </w:r>
      <w:r w:rsidR="00D93D7F">
        <w:rPr>
          <w:rFonts w:ascii="Verdana" w:hAnsi="Verdana"/>
          <w:sz w:val="24"/>
          <w:szCs w:val="24"/>
        </w:rPr>
        <w:t xml:space="preserve"> Pleno del Ayuntamiento </w:t>
      </w:r>
      <w:r>
        <w:rPr>
          <w:rFonts w:ascii="Verdana" w:hAnsi="Verdana"/>
          <w:sz w:val="24"/>
          <w:szCs w:val="24"/>
        </w:rPr>
        <w:t>que exija al Gobierno de la Nación:</w:t>
      </w:r>
    </w:p>
    <w:p w:rsidR="00EF037B" w:rsidRDefault="00EF037B" w:rsidP="00EF037B">
      <w:pPr>
        <w:rPr>
          <w:rFonts w:ascii="Verdana" w:hAnsi="Verdana"/>
          <w:sz w:val="24"/>
          <w:szCs w:val="24"/>
        </w:rPr>
      </w:pPr>
    </w:p>
    <w:p w:rsidR="00EF037B" w:rsidRDefault="00EF037B" w:rsidP="00EF037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recuperación del poder adquisitivo de las pensiones con carácter retroactivo desde el año 2011.</w:t>
      </w:r>
    </w:p>
    <w:p w:rsidR="00EF037B" w:rsidRDefault="00EF037B" w:rsidP="00EF037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Derogación de las reformas laborales.</w:t>
      </w:r>
    </w:p>
    <w:p w:rsidR="00EF037B" w:rsidRDefault="00EF037B" w:rsidP="00EF037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Derogación del Art. 135.</w:t>
      </w:r>
    </w:p>
    <w:p w:rsidR="00EF037B" w:rsidRDefault="00EF037B" w:rsidP="00EF037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Aplicación del Art. 50 de la Constitución.</w:t>
      </w:r>
    </w:p>
    <w:p w:rsidR="00EF037B" w:rsidRDefault="00EF037B" w:rsidP="00EF037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Revalorización de las pensiones según el IPC.</w:t>
      </w:r>
    </w:p>
    <w:p w:rsidR="00EF037B" w:rsidRDefault="00EF037B" w:rsidP="00EF037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Recuperación del Plan Prepara para personas mayores de 52 y 55 años.</w:t>
      </w:r>
    </w:p>
    <w:p w:rsidR="00705FC6" w:rsidRDefault="00EF037B" w:rsidP="00705FC6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Pensiones mínimas de 1080€.</w:t>
      </w:r>
    </w:p>
    <w:p w:rsidR="00705FC6" w:rsidRPr="00705FC6" w:rsidRDefault="00705FC6" w:rsidP="00705FC6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Recuperar los mecanismos de gobierno participado del sistema público de pensiones a través del Diálogo Social y en el marco configurado en el Pacto de Toledo.</w:t>
      </w:r>
    </w:p>
    <w:p w:rsidR="00EF037B" w:rsidRDefault="00EF037B" w:rsidP="00EF037B">
      <w:pPr>
        <w:rPr>
          <w:rFonts w:ascii="Verdana" w:hAnsi="Verdana"/>
          <w:sz w:val="24"/>
          <w:szCs w:val="24"/>
        </w:rPr>
      </w:pPr>
    </w:p>
    <w:p w:rsidR="00705FC6" w:rsidRDefault="00705FC6" w:rsidP="00EF037B">
      <w:pPr>
        <w:rPr>
          <w:rFonts w:ascii="Verdana" w:hAnsi="Verdana"/>
          <w:sz w:val="24"/>
          <w:szCs w:val="24"/>
        </w:rPr>
      </w:pPr>
    </w:p>
    <w:p w:rsidR="00EF037B" w:rsidRDefault="00EF037B" w:rsidP="00EF037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Puertollano a 16 de febrero de 2018</w:t>
      </w:r>
    </w:p>
    <w:p w:rsidR="00EF037B" w:rsidRDefault="00EF037B" w:rsidP="00EF037B">
      <w:pPr>
        <w:jc w:val="center"/>
        <w:rPr>
          <w:rFonts w:ascii="Verdana" w:hAnsi="Verdana"/>
          <w:sz w:val="24"/>
          <w:szCs w:val="24"/>
        </w:rPr>
      </w:pPr>
    </w:p>
    <w:p w:rsidR="000A47D0" w:rsidRDefault="000A47D0" w:rsidP="00EF037B">
      <w:pPr>
        <w:jc w:val="center"/>
        <w:rPr>
          <w:rFonts w:ascii="Verdana" w:hAnsi="Verdana"/>
          <w:sz w:val="24"/>
          <w:szCs w:val="24"/>
        </w:rPr>
      </w:pPr>
    </w:p>
    <w:p w:rsidR="000A47D0" w:rsidRDefault="000A47D0" w:rsidP="00EF037B">
      <w:pPr>
        <w:jc w:val="center"/>
        <w:rPr>
          <w:rFonts w:ascii="Verdana" w:hAnsi="Verdana"/>
          <w:sz w:val="24"/>
          <w:szCs w:val="24"/>
        </w:rPr>
      </w:pPr>
    </w:p>
    <w:p w:rsidR="00EF037B" w:rsidRDefault="00EF037B" w:rsidP="00EF037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Jesús M. Manchón Sierra</w:t>
      </w:r>
    </w:p>
    <w:p w:rsidR="00EF037B" w:rsidRPr="00EF037B" w:rsidRDefault="00EF037B" w:rsidP="00EF037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Portavoz del Grupo Municipal IU Puertollano</w:t>
      </w:r>
    </w:p>
    <w:p w:rsidR="00EF037B" w:rsidRPr="001C2AAB" w:rsidRDefault="00EF037B" w:rsidP="00EF037B">
      <w:pPr>
        <w:ind w:left="2832" w:firstLine="708"/>
        <w:jc w:val="center"/>
        <w:rPr>
          <w:rFonts w:ascii="Verdana" w:hAnsi="Verdana"/>
          <w:b/>
          <w:sz w:val="24"/>
          <w:szCs w:val="24"/>
        </w:rPr>
      </w:pPr>
    </w:p>
    <w:sectPr w:rsidR="00EF037B" w:rsidRPr="001C2AAB" w:rsidSect="00A0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FBF"/>
    <w:multiLevelType w:val="hybridMultilevel"/>
    <w:tmpl w:val="BC76AEB6"/>
    <w:lvl w:ilvl="0" w:tplc="EDCC741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1A07"/>
    <w:multiLevelType w:val="hybridMultilevel"/>
    <w:tmpl w:val="D65C2864"/>
    <w:lvl w:ilvl="0" w:tplc="9D787F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46CFE"/>
    <w:rsid w:val="000025D9"/>
    <w:rsid w:val="000A47D0"/>
    <w:rsid w:val="001C2AAB"/>
    <w:rsid w:val="002145FE"/>
    <w:rsid w:val="00246CFE"/>
    <w:rsid w:val="0026464C"/>
    <w:rsid w:val="004A5B19"/>
    <w:rsid w:val="00682E0E"/>
    <w:rsid w:val="00694BB3"/>
    <w:rsid w:val="006E70A9"/>
    <w:rsid w:val="006F14C3"/>
    <w:rsid w:val="00705FC6"/>
    <w:rsid w:val="007F6D60"/>
    <w:rsid w:val="0092453B"/>
    <w:rsid w:val="009467F4"/>
    <w:rsid w:val="00A06BAA"/>
    <w:rsid w:val="00CF6A28"/>
    <w:rsid w:val="00D02E15"/>
    <w:rsid w:val="00D04AF5"/>
    <w:rsid w:val="00D93D7F"/>
    <w:rsid w:val="00DC2914"/>
    <w:rsid w:val="00E16E6B"/>
    <w:rsid w:val="00E200E9"/>
    <w:rsid w:val="00E471BB"/>
    <w:rsid w:val="00E65B80"/>
    <w:rsid w:val="00EF037B"/>
    <w:rsid w:val="00F22489"/>
    <w:rsid w:val="00F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B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MJCEDRUN</dc:creator>
  <cp:lastModifiedBy>Grupo Izquierda Unid</cp:lastModifiedBy>
  <cp:revision>6</cp:revision>
  <cp:lastPrinted>2018-02-16T10:56:00Z</cp:lastPrinted>
  <dcterms:created xsi:type="dcterms:W3CDTF">2018-02-16T10:30:00Z</dcterms:created>
  <dcterms:modified xsi:type="dcterms:W3CDTF">2018-02-16T12:13:00Z</dcterms:modified>
</cp:coreProperties>
</file>